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</w:p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  <w:r>
        <w:rPr>
          <w:rFonts w:ascii="Times New Roman" w:hAnsi="Times New Roman" w:cs="Times New Roman"/>
          <w:b/>
          <w:szCs w:val="24"/>
          <w:lang w:val="it-IT"/>
        </w:rPr>
        <w:t>AGENŢIA NAŢIONALĂ DE ADMINISTRARE FISCALĂ</w:t>
      </w:r>
    </w:p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  <w:bookmarkStart w:id="0" w:name="_GoBack"/>
      <w:bookmarkEnd w:id="0"/>
    </w:p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  <w:r>
        <w:rPr>
          <w:rFonts w:ascii="Times New Roman" w:hAnsi="Times New Roman" w:cs="Times New Roman"/>
          <w:b/>
          <w:szCs w:val="24"/>
          <w:lang w:val="it-IT"/>
        </w:rPr>
        <w:t>ORDIN NR...</w:t>
      </w:r>
      <w:r>
        <w:rPr>
          <w:rFonts w:hint="default" w:cs="Times New Roman"/>
          <w:b/>
          <w:szCs w:val="24"/>
          <w:lang w:val="ro-RO"/>
        </w:rPr>
        <w:t>.......</w:t>
      </w:r>
      <w:r>
        <w:rPr>
          <w:rFonts w:ascii="Times New Roman" w:hAnsi="Times New Roman" w:cs="Times New Roman"/>
          <w:b/>
          <w:szCs w:val="24"/>
          <w:lang w:val="it-IT"/>
        </w:rPr>
        <w:t>....</w:t>
      </w:r>
    </w:p>
    <w:p>
      <w:pPr>
        <w:jc w:val="center"/>
        <w:rPr>
          <w:rFonts w:ascii="Times New Roman" w:hAnsi="Times New Roman" w:cs="Times New Roman"/>
          <w:b/>
          <w:bCs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pentru aprobarea Procedurii privind recalcularea din oficiu,</w:t>
      </w:r>
      <w:r>
        <w:rPr>
          <w:rFonts w:ascii="Times New Roman" w:hAnsi="Times New Roman" w:cs="Times New Roman"/>
          <w:b/>
          <w:bCs/>
          <w:iCs/>
          <w:color w:val="auto"/>
          <w:szCs w:val="24"/>
        </w:rPr>
        <w:t xml:space="preserve"> de către organul fiscal,</w:t>
      </w:r>
      <w:r>
        <w:rPr>
          <w:rFonts w:ascii="Times New Roman" w:hAnsi="Times New Roman" w:cs="Times New Roman"/>
          <w:b/>
          <w:bCs/>
          <w:iCs/>
          <w:color w:val="auto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Cs w:val="24"/>
          <w:lang w:val="ro-RO"/>
        </w:rPr>
        <w:t xml:space="preserve"> a contribuției de asigurări sociale de sănătate, precum și a modelului și conținutului </w:t>
      </w:r>
      <w:r>
        <w:rPr>
          <w:rFonts w:hint="default" w:ascii="Times New Roman" w:hAnsi="Times New Roman" w:cs="Times New Roman"/>
          <w:b/>
          <w:szCs w:val="24"/>
          <w:lang w:val="en-US"/>
        </w:rPr>
        <w:t xml:space="preserve">unor formulare </w:t>
      </w:r>
    </w:p>
    <w:p>
      <w:pPr>
        <w:spacing w:before="0"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</w:p>
    <w:p>
      <w:pPr>
        <w:spacing w:line="360" w:lineRule="auto"/>
        <w:ind w:firstLine="660" w:firstLineChars="275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o-RO"/>
        </w:rPr>
        <w:t>Având în vedere dispozițiile art.12</w:t>
      </w:r>
      <w:r>
        <w:rPr>
          <w:rFonts w:hint="default" w:ascii="Times New Roman" w:hAnsi="Times New Roman" w:cs="Times New Roman"/>
          <w:szCs w:val="24"/>
          <w:lang w:val="en-US"/>
        </w:rPr>
        <w:t>2</w:t>
      </w:r>
      <w:r>
        <w:rPr>
          <w:rFonts w:ascii="Times New Roman" w:hAnsi="Times New Roman" w:cs="Times New Roman"/>
          <w:szCs w:val="24"/>
          <w:lang w:val="ro-RO"/>
        </w:rPr>
        <w:t>, art.</w:t>
      </w:r>
      <w:r>
        <w:rPr>
          <w:rFonts w:eastAsia="Times New Roman" w:cs="Times New Roman"/>
          <w:i w:val="0"/>
          <w:iCs w:val="0"/>
          <w:sz w:val="24"/>
          <w:szCs w:val="24"/>
          <w:lang w:val="en-US" w:eastAsia="ro-RO"/>
        </w:rPr>
        <w:t>180</w:t>
      </w:r>
      <w:r>
        <w:rPr>
          <w:rFonts w:eastAsia="Times New Roman" w:cs="Times New Roman"/>
          <w:i w:val="0"/>
          <w:iCs w:val="0"/>
          <w:sz w:val="24"/>
          <w:szCs w:val="24"/>
          <w:lang w:eastAsia="ro-RO"/>
        </w:rPr>
        <w:t xml:space="preserve"> </w:t>
      </w:r>
      <w:r>
        <w:rPr>
          <w:rFonts w:hint="default" w:ascii="Times New Roman" w:hAnsi="Times New Roman" w:eastAsia="Times New Roman" w:cs="Times New Roman"/>
          <w:i w:val="0"/>
          <w:iCs w:val="0"/>
          <w:sz w:val="24"/>
          <w:szCs w:val="24"/>
          <w:lang w:val="en-US" w:eastAsia="ro-RO"/>
        </w:rPr>
        <w:t>alin.(1) lit.b) - d)</w:t>
      </w:r>
      <w:r>
        <w:rPr>
          <w:rFonts w:hint="default" w:ascii="Times New Roman" w:hAnsi="Times New Roman" w:cs="Times New Roman"/>
          <w:szCs w:val="24"/>
          <w:lang w:val="en-US"/>
        </w:rPr>
        <w:t>, art.182</w:t>
      </w:r>
      <w:r>
        <w:rPr>
          <w:rFonts w:hint="default" w:cs="Times New Roman"/>
          <w:szCs w:val="24"/>
          <w:vertAlign w:val="superscript"/>
          <w:lang w:val="en-US"/>
        </w:rPr>
        <w:t>1</w:t>
      </w:r>
      <w:r>
        <w:rPr>
          <w:rFonts w:ascii="Times New Roman" w:hAnsi="Times New Roman" w:cs="Times New Roman"/>
          <w:szCs w:val="24"/>
          <w:lang w:val="ro-RO"/>
        </w:rPr>
        <w:t xml:space="preserve"> și art.183</w:t>
      </w:r>
      <w:r>
        <w:rPr>
          <w:rFonts w:hint="default" w:cs="Times New Roman"/>
          <w:szCs w:val="24"/>
          <w:lang w:val="en-US"/>
        </w:rPr>
        <w:t xml:space="preserve"> alin.(1) d</w:t>
      </w:r>
      <w:r>
        <w:rPr>
          <w:rFonts w:ascii="Times New Roman" w:hAnsi="Times New Roman" w:cs="Times New Roman"/>
          <w:szCs w:val="24"/>
          <w:lang w:val="ro-RO"/>
        </w:rPr>
        <w:t xml:space="preserve">in Legea nr.227/2015 privind Codul fiscal, cu modificările și completările ulterioare, precum și avizul </w:t>
      </w:r>
      <w:r>
        <w:rPr>
          <w:rFonts w:ascii="Times New Roman" w:hAnsi="Times New Roman" w:cs="Times New Roman"/>
          <w:szCs w:val="24"/>
        </w:rPr>
        <w:t xml:space="preserve">conform al Ministerului Finanţelor comunicat prin </w:t>
      </w:r>
      <w:r>
        <w:rPr>
          <w:rFonts w:ascii="Times New Roman" w:hAnsi="Times New Roman" w:cs="Times New Roman"/>
          <w:szCs w:val="24"/>
          <w:lang w:val="ro-RO"/>
        </w:rPr>
        <w:t>a</w:t>
      </w:r>
      <w:r>
        <w:rPr>
          <w:rFonts w:ascii="Times New Roman" w:hAnsi="Times New Roman" w:cs="Times New Roman"/>
          <w:szCs w:val="24"/>
        </w:rPr>
        <w:t>dresa nr</w:t>
      </w:r>
      <w:r>
        <w:rPr>
          <w:rFonts w:hint="default" w:ascii="Times New Roman" w:hAnsi="Times New Roman" w:cs="Times New Roman"/>
          <w:szCs w:val="24"/>
          <w:lang w:val="en-US"/>
        </w:rPr>
        <w:t>…………</w:t>
      </w:r>
      <w:r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din data de </w:t>
      </w:r>
      <w:r>
        <w:rPr>
          <w:rFonts w:hint="default" w:ascii="Times New Roman" w:hAnsi="Times New Roman" w:cs="Times New Roman"/>
          <w:szCs w:val="24"/>
          <w:lang w:val="en-US"/>
        </w:rPr>
        <w:t>………….</w:t>
      </w:r>
      <w:r>
        <w:rPr>
          <w:rFonts w:ascii="Times New Roman" w:hAnsi="Times New Roman" w:cs="Times New Roman"/>
          <w:szCs w:val="24"/>
        </w:rPr>
        <w:t>,</w:t>
      </w:r>
    </w:p>
    <w:p>
      <w:pPr>
        <w:spacing w:before="0" w:after="0"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o-RO"/>
        </w:rPr>
        <w:tab/>
      </w:r>
      <w:r>
        <w:rPr>
          <w:rFonts w:ascii="Times New Roman" w:hAnsi="Times New Roman" w:cs="Times New Roman"/>
          <w:szCs w:val="24"/>
          <w:lang w:val="ro-RO"/>
        </w:rPr>
        <w:t>În temeiul prevederilor</w:t>
      </w:r>
      <w:r>
        <w:rPr>
          <w:rFonts w:ascii="Times New Roman" w:hAnsi="Times New Roman" w:cs="Times New Roman"/>
          <w:b/>
          <w:bCs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art.5 alin.(4) </w:t>
      </w:r>
      <w:r>
        <w:rPr>
          <w:rFonts w:hint="default" w:cs="Times New Roman"/>
          <w:szCs w:val="24"/>
          <w:lang w:val="ro-RO"/>
        </w:rPr>
        <w:t xml:space="preserve">și art.183 alin.(2) </w:t>
      </w:r>
      <w:r>
        <w:rPr>
          <w:rFonts w:ascii="Times New Roman" w:hAnsi="Times New Roman" w:cs="Times New Roman"/>
          <w:szCs w:val="24"/>
        </w:rPr>
        <w:t>din Legea nr.227/2015 privind Codul fiscal, cu modificările şi completările ulterioare, ale</w:t>
      </w:r>
      <w:r>
        <w:rPr>
          <w:rFonts w:ascii="Times New Roman" w:hAnsi="Times New Roman" w:cs="Times New Roman"/>
          <w:b/>
          <w:bCs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>art.342 alin.(1) din Legea nr.207/2015 privind Codul de procedură fiscală, cu modificările şi completările ulterioare, precum și ale art.11 alin.(3) din Hotărârea Guvernului nr.520</w:t>
      </w:r>
      <w:r>
        <w:rPr>
          <w:rFonts w:ascii="Times New Roman" w:hAnsi="Times New Roman" w:cs="Times New Roman"/>
          <w:szCs w:val="24"/>
          <w:lang w:val="ro-RO" w:eastAsia="ro-RO"/>
        </w:rPr>
        <w:t>/2013 privind organizarea şi funcţionarea Agenţiei Naţionale de Administrare Fiscală</w:t>
      </w:r>
      <w:r>
        <w:rPr>
          <w:rFonts w:ascii="Times New Roman" w:hAnsi="Times New Roman" w:cs="Times New Roman"/>
          <w:szCs w:val="24"/>
          <w:lang w:val="ro-RO"/>
        </w:rPr>
        <w:t>, cu modificările și completările ulterioare,</w:t>
      </w:r>
    </w:p>
    <w:p>
      <w:pPr>
        <w:pStyle w:val="20"/>
        <w:tabs>
          <w:tab w:val="left" w:pos="270"/>
          <w:tab w:val="left" w:pos="10527"/>
        </w:tabs>
        <w:spacing w:line="360" w:lineRule="auto"/>
        <w:ind w:right="-3"/>
        <w:jc w:val="both"/>
        <w:rPr>
          <w:rFonts w:ascii="Times New Roman" w:hAnsi="Times New Roman" w:cs="Times New Roman"/>
          <w:szCs w:val="24"/>
          <w:lang w:val="pt-BR"/>
        </w:rPr>
      </w:pPr>
    </w:p>
    <w:p>
      <w:pPr>
        <w:pStyle w:val="20"/>
        <w:tabs>
          <w:tab w:val="left" w:pos="270"/>
          <w:tab w:val="left" w:pos="10527"/>
        </w:tabs>
        <w:spacing w:line="360" w:lineRule="auto"/>
        <w:ind w:right="-3"/>
        <w:jc w:val="both"/>
        <w:rPr>
          <w:rFonts w:ascii="Times New Roman" w:hAnsi="Times New Roman" w:cs="Times New Roman"/>
          <w:szCs w:val="24"/>
          <w:lang w:val="pt-BR"/>
        </w:rPr>
      </w:pPr>
      <w:r>
        <w:rPr>
          <w:rFonts w:ascii="Times New Roman" w:hAnsi="Times New Roman" w:cs="Times New Roman"/>
          <w:szCs w:val="24"/>
          <w:lang w:val="pt-BR"/>
        </w:rPr>
        <w:tab/>
      </w:r>
      <w:r>
        <w:rPr>
          <w:rFonts w:ascii="Times New Roman" w:hAnsi="Times New Roman" w:cs="Times New Roman"/>
          <w:szCs w:val="24"/>
          <w:lang w:val="pt-BR"/>
        </w:rPr>
        <w:t xml:space="preserve">preşedintele Agenţiei Naţionale de Administrare Fiscală emite următorul </w:t>
      </w:r>
    </w:p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pt-BR"/>
        </w:rPr>
      </w:pPr>
    </w:p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pt-BR"/>
        </w:rPr>
      </w:pPr>
      <w:r>
        <w:rPr>
          <w:rFonts w:ascii="Times New Roman" w:hAnsi="Times New Roman" w:cs="Times New Roman"/>
          <w:b/>
          <w:szCs w:val="24"/>
          <w:lang w:val="pt-BR"/>
        </w:rPr>
        <w:t>ORDIN</w:t>
      </w:r>
    </w:p>
    <w:p>
      <w:pPr>
        <w:pStyle w:val="28"/>
        <w:spacing w:line="360" w:lineRule="auto"/>
        <w:jc w:val="center"/>
        <w:rPr>
          <w:rFonts w:ascii="Times New Roman" w:hAnsi="Times New Roman" w:cs="Times New Roman"/>
          <w:b/>
          <w:szCs w:val="24"/>
          <w:lang w:val="pt-BR"/>
        </w:rPr>
      </w:pPr>
    </w:p>
    <w:p>
      <w:pPr>
        <w:pStyle w:val="5"/>
        <w:spacing w:before="0" w:after="100" w:line="360" w:lineRule="auto"/>
        <w:ind w:firstLine="720"/>
        <w:jc w:val="both"/>
        <w:rPr>
          <w:rFonts w:ascii="Times New Roman" w:hAnsi="Times New Roman" w:cs="Times New Roman"/>
          <w:b w:val="0"/>
          <w:i w:val="0"/>
          <w:color w:val="00000A"/>
          <w:szCs w:val="24"/>
        </w:rPr>
      </w:pPr>
      <w:r>
        <w:rPr>
          <w:rFonts w:ascii="Times New Roman" w:hAnsi="Times New Roman" w:cs="Times New Roman"/>
          <w:i w:val="0"/>
          <w:color w:val="00000A"/>
          <w:szCs w:val="24"/>
        </w:rPr>
        <w:t>Art.1</w:t>
      </w:r>
      <w:r>
        <w:rPr>
          <w:rFonts w:ascii="Times New Roman" w:hAnsi="Times New Roman" w:cs="Times New Roman"/>
          <w:b w:val="0"/>
          <w:i w:val="0"/>
          <w:color w:val="00000A"/>
          <w:szCs w:val="24"/>
        </w:rPr>
        <w:t xml:space="preserve"> Se aprobă Procedura privind </w:t>
      </w:r>
      <w:r>
        <w:rPr>
          <w:rFonts w:ascii="Times New Roman" w:hAnsi="Times New Roman" w:cs="Times New Roman"/>
          <w:b w:val="0"/>
          <w:i w:val="0"/>
          <w:color w:val="auto"/>
          <w:szCs w:val="24"/>
        </w:rPr>
        <w:t xml:space="preserve">recalcularea </w:t>
      </w:r>
      <w:r>
        <w:rPr>
          <w:rFonts w:ascii="Times New Roman" w:hAnsi="Times New Roman" w:cs="Times New Roman"/>
          <w:b w:val="0"/>
          <w:i w:val="0"/>
          <w:color w:val="auto"/>
          <w:szCs w:val="24"/>
          <w:lang w:val="ro-RO"/>
        </w:rPr>
        <w:t xml:space="preserve">din oficiu, </w:t>
      </w:r>
      <w:r>
        <w:rPr>
          <w:rFonts w:ascii="Times New Roman" w:hAnsi="Times New Roman" w:cs="Times New Roman"/>
          <w:b w:val="0"/>
          <w:bCs w:val="0"/>
          <w:i w:val="0"/>
          <w:color w:val="auto"/>
          <w:szCs w:val="24"/>
        </w:rPr>
        <w:t>de către organul fiscal,</w:t>
      </w:r>
      <w:r>
        <w:rPr>
          <w:rFonts w:ascii="Times New Roman" w:hAnsi="Times New Roman" w:cs="Times New Roman"/>
          <w:i w:val="0"/>
          <w:color w:val="auto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auto"/>
          <w:szCs w:val="24"/>
          <w:lang w:val="ro-RO"/>
        </w:rPr>
        <w:t xml:space="preserve">a </w:t>
      </w:r>
      <w:r>
        <w:rPr>
          <w:rFonts w:ascii="Times New Roman" w:hAnsi="Times New Roman" w:cs="Times New Roman"/>
          <w:b w:val="0"/>
          <w:i w:val="0"/>
          <w:color w:val="auto"/>
          <w:szCs w:val="24"/>
        </w:rPr>
        <w:t>c</w:t>
      </w:r>
      <w:r>
        <w:rPr>
          <w:rFonts w:ascii="Times New Roman" w:hAnsi="Times New Roman" w:cs="Times New Roman"/>
          <w:b w:val="0"/>
          <w:i w:val="0"/>
          <w:color w:val="00000A"/>
          <w:szCs w:val="24"/>
        </w:rPr>
        <w:t>ontribuției de asigurări sociale de sănătate, prevăzută în anexa nr.1.</w:t>
      </w:r>
    </w:p>
    <w:p>
      <w:pPr>
        <w:numPr>
          <w:ilvl w:val="0"/>
          <w:numId w:val="0"/>
        </w:numPr>
        <w:spacing w:before="0" w:after="0" w:line="360" w:lineRule="auto"/>
        <w:ind w:firstLine="720"/>
        <w:jc w:val="both"/>
        <w:rPr>
          <w:rFonts w:hint="default" w:cs="Times New Roman"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</w:rPr>
        <w:t xml:space="preserve">Art.2 </w:t>
      </w:r>
      <w:r>
        <w:rPr>
          <w:rFonts w:ascii="Times New Roman" w:hAnsi="Times New Roman" w:cs="Times New Roman"/>
          <w:szCs w:val="24"/>
        </w:rPr>
        <w:t>Se aprobă modelul și conținutul formular</w:t>
      </w:r>
      <w:r>
        <w:rPr>
          <w:rFonts w:hint="default" w:ascii="Times New Roman" w:hAnsi="Times New Roman" w:cs="Times New Roman"/>
          <w:szCs w:val="24"/>
          <w:lang w:val="ro-RO"/>
        </w:rPr>
        <w:t>elor</w:t>
      </w:r>
      <w:r>
        <w:rPr>
          <w:rFonts w:hint="default" w:cs="Times New Roman"/>
          <w:szCs w:val="24"/>
          <w:lang w:val="ro-RO"/>
        </w:rPr>
        <w:t>:</w:t>
      </w:r>
    </w:p>
    <w:p>
      <w:pPr>
        <w:numPr>
          <w:ilvl w:val="0"/>
          <w:numId w:val="1"/>
        </w:numPr>
        <w:spacing w:before="0" w:after="0" w:line="360" w:lineRule="auto"/>
        <w:ind w:firstLine="720"/>
        <w:jc w:val="both"/>
        <w:rPr>
          <w:rFonts w:hint="default" w:ascii="Times New Roman" w:hAnsi="Times New Roman" w:cs="Times New Roman"/>
          <w:szCs w:val="24"/>
          <w:lang w:val="ro-RO"/>
        </w:rPr>
      </w:pPr>
      <w:r>
        <w:rPr>
          <w:rFonts w:hint="default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>„</w:t>
      </w:r>
      <w:r>
        <w:rPr>
          <w:rFonts w:ascii="Times New Roman" w:hAnsi="Times New Roman" w:cs="Times New Roman"/>
          <w:szCs w:val="24"/>
        </w:rPr>
        <w:t>Referat privind recalcularea contribuției de asigurări sociale de sănătate</w:t>
      </w:r>
      <w:r>
        <w:rPr>
          <w:rFonts w:ascii="Times New Roman" w:hAnsi="Times New Roman" w:cs="Times New Roman"/>
          <w:szCs w:val="24"/>
          <w:lang w:val="ro-RO"/>
        </w:rPr>
        <w:t>”</w:t>
      </w:r>
      <w:r>
        <w:rPr>
          <w:rFonts w:ascii="Times New Roman" w:hAnsi="Times New Roman" w:cs="Times New Roman"/>
          <w:szCs w:val="24"/>
          <w:lang w:val="ro-RO" w:eastAsia="ro-RO"/>
        </w:rPr>
        <w:t>,</w:t>
      </w:r>
      <w:r>
        <w:rPr>
          <w:rFonts w:ascii="Times New Roman" w:hAnsi="Times New Roman" w:cs="Times New Roman"/>
          <w:szCs w:val="24"/>
        </w:rPr>
        <w:t xml:space="preserve"> prevăzut în anexa nr.2</w:t>
      </w:r>
      <w:r>
        <w:rPr>
          <w:rFonts w:hint="default" w:cs="Times New Roman"/>
          <w:szCs w:val="24"/>
          <w:lang w:val="ro-RO"/>
        </w:rPr>
        <w:t>;</w:t>
      </w:r>
    </w:p>
    <w:p>
      <w:pPr>
        <w:numPr>
          <w:ilvl w:val="0"/>
          <w:numId w:val="1"/>
        </w:numPr>
        <w:spacing w:before="0" w:after="0" w:line="36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hint="default" w:cs="Times New Roman"/>
          <w:b w:val="0"/>
          <w:bCs w:val="0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 w:val="0"/>
          <w:bCs w:val="0"/>
          <w:szCs w:val="24"/>
          <w:lang w:val="ro-RO"/>
        </w:rPr>
        <w:t>„</w:t>
      </w:r>
      <w:r>
        <w:rPr>
          <w:rFonts w:ascii="Times New Roman" w:hAnsi="Times New Roman" w:cs="Times New Roman"/>
          <w:b w:val="0"/>
          <w:bCs w:val="0"/>
          <w:szCs w:val="24"/>
        </w:rPr>
        <w:t>D</w:t>
      </w:r>
      <w:r>
        <w:rPr>
          <w:rFonts w:hint="default" w:ascii="Times New Roman" w:hAnsi="Times New Roman" w:cs="Times New Roman"/>
          <w:b w:val="0"/>
          <w:bCs w:val="0"/>
          <w:szCs w:val="24"/>
          <w:lang w:val="ro-RO"/>
        </w:rPr>
        <w:t xml:space="preserve">ecizie de recalculare din oficiu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a contribuţiei de asigurări sociale de sănătate</w:t>
      </w:r>
      <w:r>
        <w:rPr>
          <w:rFonts w:ascii="Times New Roman" w:hAnsi="Times New Roman" w:cs="Times New Roman"/>
          <w:b w:val="0"/>
          <w:bCs w:val="0"/>
          <w:szCs w:val="24"/>
          <w:lang w:val="ro-RO"/>
        </w:rPr>
        <w:t>”</w:t>
      </w:r>
      <w:r>
        <w:rPr>
          <w:rFonts w:ascii="Times New Roman" w:hAnsi="Times New Roman" w:cs="Times New Roman"/>
          <w:b w:val="0"/>
          <w:bCs w:val="0"/>
          <w:szCs w:val="24"/>
          <w:lang w:val="ro-RO" w:eastAsia="ro-RO"/>
        </w:rPr>
        <w:t>,</w:t>
      </w:r>
      <w:r>
        <w:rPr>
          <w:rFonts w:ascii="Times New Roman" w:hAnsi="Times New Roman" w:cs="Times New Roman"/>
          <w:b w:val="0"/>
          <w:bCs w:val="0"/>
          <w:szCs w:val="24"/>
        </w:rPr>
        <w:t xml:space="preserve"> prevăzut</w:t>
      </w:r>
      <w:r>
        <w:rPr>
          <w:rFonts w:cs="Times New Roman"/>
          <w:b w:val="0"/>
          <w:bCs w:val="0"/>
          <w:szCs w:val="24"/>
          <w:lang w:val="ro-RO"/>
        </w:rPr>
        <w:t>ă</w:t>
      </w:r>
      <w:r>
        <w:rPr>
          <w:rFonts w:ascii="Times New Roman" w:hAnsi="Times New Roman" w:cs="Times New Roman"/>
          <w:b w:val="0"/>
          <w:bCs w:val="0"/>
          <w:szCs w:val="24"/>
        </w:rPr>
        <w:t xml:space="preserve"> în anexa nr.</w:t>
      </w:r>
      <w:r>
        <w:rPr>
          <w:rFonts w:hint="default" w:ascii="Times New Roman" w:hAnsi="Times New Roman" w:cs="Times New Roman"/>
          <w:b w:val="0"/>
          <w:bCs w:val="0"/>
          <w:szCs w:val="24"/>
          <w:lang w:val="ro-RO"/>
        </w:rPr>
        <w:t>3</w:t>
      </w:r>
      <w:r>
        <w:rPr>
          <w:rFonts w:ascii="Times New Roman" w:hAnsi="Times New Roman" w:cs="Times New Roman"/>
          <w:szCs w:val="24"/>
          <w:lang w:val="ro-RO"/>
        </w:rPr>
        <w:t>.</w:t>
      </w:r>
    </w:p>
    <w:p>
      <w:pPr>
        <w:numPr>
          <w:ilvl w:val="0"/>
          <w:numId w:val="0"/>
        </w:numPr>
        <w:spacing w:before="0" w:after="0" w:line="360" w:lineRule="auto"/>
        <w:ind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Art.3 </w:t>
      </w:r>
      <w:r>
        <w:rPr>
          <w:rFonts w:ascii="Times New Roman" w:hAnsi="Times New Roman" w:cs="Times New Roman"/>
          <w:szCs w:val="24"/>
        </w:rPr>
        <w:t>Anexele nr.1</w:t>
      </w:r>
      <w:r>
        <w:rPr>
          <w:rFonts w:hint="default" w:ascii="Times New Roman" w:hAnsi="Times New Roman" w:cs="Times New Roman"/>
          <w:szCs w:val="24"/>
          <w:lang w:val="ro-RO"/>
        </w:rPr>
        <w:t>, 2</w:t>
      </w:r>
      <w:r>
        <w:rPr>
          <w:rFonts w:ascii="Times New Roman" w:hAnsi="Times New Roman" w:cs="Times New Roman"/>
          <w:szCs w:val="24"/>
        </w:rPr>
        <w:t xml:space="preserve"> și </w:t>
      </w:r>
      <w:r>
        <w:rPr>
          <w:rFonts w:hint="default" w:ascii="Times New Roman" w:hAnsi="Times New Roman" w:cs="Times New Roman"/>
          <w:szCs w:val="24"/>
          <w:lang w:val="ro-RO"/>
        </w:rPr>
        <w:t>3</w:t>
      </w:r>
      <w:r>
        <w:rPr>
          <w:rFonts w:ascii="Times New Roman" w:hAnsi="Times New Roman" w:cs="Times New Roman"/>
          <w:szCs w:val="24"/>
        </w:rPr>
        <w:t xml:space="preserve"> fac parte integrantă din prezentul ordin.</w:t>
      </w:r>
    </w:p>
    <w:p>
      <w:pPr>
        <w:spacing w:before="0" w:after="0" w:line="360" w:lineRule="auto"/>
        <w:ind w:firstLine="720"/>
        <w:jc w:val="both"/>
        <w:rPr>
          <w:rFonts w:ascii="Times New Roman" w:hAnsi="Times New Roman" w:cs="Times New Roman"/>
          <w:szCs w:val="24"/>
          <w:lang w:val="ro-RO" w:eastAsia="ro-RO"/>
        </w:rPr>
      </w:pPr>
      <w:r>
        <w:rPr>
          <w:rFonts w:ascii="Times New Roman" w:hAnsi="Times New Roman" w:cs="Times New Roman"/>
          <w:b/>
          <w:szCs w:val="24"/>
        </w:rPr>
        <w:t>Art.</w:t>
      </w:r>
      <w:r>
        <w:rPr>
          <w:rFonts w:ascii="Times New Roman" w:hAnsi="Times New Roman" w:cs="Times New Roman"/>
          <w:b/>
          <w:szCs w:val="24"/>
          <w:lang w:val="ro-RO"/>
        </w:rPr>
        <w:t>4</w:t>
      </w:r>
      <w:r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  <w:lang w:val="ro-RO" w:eastAsia="ro-RO"/>
        </w:rPr>
        <w:t>Referirile la Codul fiscal din cuprinsul prezentului ordin, reprezintă trimiteri la Legea nr.227/2015 privind Codul fiscal, cu modificările și completările ulterioare.</w:t>
      </w:r>
    </w:p>
    <w:p>
      <w:pPr>
        <w:numPr>
          <w:ilvl w:val="0"/>
          <w:numId w:val="0"/>
        </w:numPr>
        <w:spacing w:before="0" w:after="0" w:line="360" w:lineRule="auto"/>
        <w:ind w:firstLine="720"/>
        <w:jc w:val="both"/>
        <w:rPr>
          <w:rFonts w:hint="default" w:ascii="Times New Roman" w:hAnsi="Times New Roman" w:cs="Times New Roman"/>
          <w:bCs/>
          <w:color w:val="auto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</w:rPr>
        <w:t>Art.</w:t>
      </w:r>
      <w:r>
        <w:rPr>
          <w:rFonts w:ascii="Times New Roman" w:hAnsi="Times New Roman" w:cs="Times New Roman"/>
          <w:b/>
          <w:szCs w:val="24"/>
          <w:lang w:val="ro-RO"/>
        </w:rPr>
        <w:t>5</w:t>
      </w:r>
      <w:r>
        <w:rPr>
          <w:rFonts w:hint="default" w:ascii="Times New Roman" w:hAnsi="Times New Roman" w:cs="Times New Roman"/>
          <w:b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bCs/>
          <w:color w:val="auto"/>
          <w:sz w:val="24"/>
          <w:szCs w:val="24"/>
          <w:lang w:val="ro-RO"/>
        </w:rPr>
        <w:t>Prevederile prezentului ordin se aplică începând cu anul 2025.</w:t>
      </w:r>
    </w:p>
    <w:p>
      <w:pPr>
        <w:spacing w:before="0" w:after="0" w:line="360" w:lineRule="auto"/>
        <w:ind w:firstLine="72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ro-RO" w:eastAsia="ro-RO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Art.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o-RO"/>
        </w:rPr>
        <w:t xml:space="preserve">6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o-RO"/>
        </w:rPr>
        <w:t xml:space="preserve">La data intrării în vigoare a prezentului ordin se abrogă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en-US"/>
          <w14:textFill>
            <w14:solidFill>
              <w14:schemeClr w14:val="tx1"/>
            </w14:solidFill>
          </w14:textFill>
        </w:rPr>
        <w:t>Ordinul preşedintelui Agenţiei Naţionale de Administrare Fiscală nr.493/2022 pentru aprobarea Procedurii privind recalcularea din oficiu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ro-RO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en-US"/>
          <w14:textFill>
            <w14:solidFill>
              <w14:schemeClr w14:val="tx1"/>
            </w14:solidFill>
          </w14:textFill>
        </w:rPr>
        <w:t xml:space="preserve"> de către organul fiscal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ro-RO"/>
          <w14:textFill>
            <w14:solidFill>
              <w14:schemeClr w14:val="tx1"/>
            </w14:solidFill>
          </w14:textFill>
        </w:rPr>
        <w:t>,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en-US"/>
          <w14:textFill>
            <w14:solidFill>
              <w14:schemeClr w14:val="tx1"/>
            </w14:solidFill>
          </w14:textFill>
        </w:rPr>
        <w:t xml:space="preserve"> a contribuţiei de asigurări sociale de sănătate, precum şi a modelului şi conţinutului formularului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ro-RO"/>
          <w14:textFill>
            <w14:solidFill>
              <w14:schemeClr w14:val="tx1"/>
            </w14:solidFill>
          </w14:textFill>
        </w:rPr>
        <w:t>„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en-US"/>
          <w14:textFill>
            <w14:solidFill>
              <w14:schemeClr w14:val="tx1"/>
            </w14:solidFill>
          </w14:textFill>
        </w:rPr>
        <w:t>Referat privind recalcularea contribuţiei de asigurări sociale de sănătate"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000000" w:themeColor="text1"/>
          <w:sz w:val="24"/>
          <w:szCs w:val="24"/>
          <w:u w:val="none"/>
          <w:lang w:val="ro-RO"/>
          <w14:textFill>
            <w14:solidFill>
              <w14:schemeClr w14:val="tx1"/>
            </w14:solidFill>
          </w14:textFill>
        </w:rPr>
        <w:t>, publicat în Monitorul Oficial, Partea I, nr.460 din 9 mai 2022.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o-RO"/>
        </w:rPr>
        <w:t xml:space="preserve"> </w:t>
      </w:r>
      <w:r>
        <w:rPr>
          <w:rFonts w:hint="default" w:cs="Times New Roman"/>
          <w:b w:val="0"/>
          <w:bCs w:val="0"/>
          <w:szCs w:val="24"/>
          <w:lang w:val="ro-RO"/>
        </w:rPr>
        <w:t xml:space="preserve"> </w:t>
      </w:r>
    </w:p>
    <w:p>
      <w:pPr>
        <w:numPr>
          <w:ilvl w:val="0"/>
          <w:numId w:val="0"/>
        </w:numPr>
        <w:spacing w:before="0" w:after="0" w:line="360" w:lineRule="auto"/>
        <w:ind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Art.</w:t>
      </w:r>
      <w:r>
        <w:rPr>
          <w:rFonts w:hint="default" w:cs="Times New Roman"/>
          <w:b/>
          <w:bCs/>
          <w:szCs w:val="24"/>
          <w:lang w:val="ro-RO"/>
        </w:rPr>
        <w:t>7</w:t>
      </w:r>
      <w:r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Direcţia generală proceduri pentru administrarea veniturilor, precum şi direcţiile generale regionale ale finanţelor publice şi unităţile subordonate vor lua măsuri pentru ducerea la îndeplinire a prevederilor prezentului ordin.</w:t>
      </w:r>
    </w:p>
    <w:p>
      <w:pPr>
        <w:ind w:firstLine="72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szCs w:val="24"/>
        </w:rPr>
        <w:t>Art.</w:t>
      </w:r>
      <w:r>
        <w:rPr>
          <w:rFonts w:hint="default" w:cs="Times New Roman"/>
          <w:b/>
          <w:szCs w:val="24"/>
          <w:lang w:val="ro-RO"/>
        </w:rPr>
        <w:t>8</w:t>
      </w:r>
      <w:r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  <w:lang w:val="it-IT"/>
        </w:rPr>
        <w:t>Prezentul ordin se publică în Monitorul Oficial al României, Partea I.</w:t>
      </w:r>
    </w:p>
    <w:p>
      <w:pPr>
        <w:pStyle w:val="15"/>
        <w:spacing w:before="0" w:after="0" w:line="360" w:lineRule="auto"/>
        <w:ind w:firstLine="720"/>
        <w:jc w:val="both"/>
        <w:rPr>
          <w:rFonts w:ascii="Times New Roman" w:hAnsi="Times New Roman" w:cs="Times New Roman"/>
        </w:rPr>
      </w:pPr>
    </w:p>
    <w:p>
      <w:pPr>
        <w:pStyle w:val="15"/>
        <w:spacing w:before="0" w:after="0" w:line="360" w:lineRule="auto"/>
        <w:ind w:firstLine="720"/>
        <w:jc w:val="both"/>
        <w:rPr>
          <w:rFonts w:ascii="Times New Roman" w:hAnsi="Times New Roman" w:cs="Times New Roman"/>
        </w:rPr>
      </w:pPr>
    </w:p>
    <w:p>
      <w:pPr>
        <w:pStyle w:val="28"/>
        <w:spacing w:line="360" w:lineRule="auto"/>
        <w:jc w:val="center"/>
        <w:rPr>
          <w:rFonts w:ascii="Times New Roman" w:hAnsi="Times New Roman" w:cs="Times New Roman"/>
          <w:szCs w:val="24"/>
          <w:lang w:val="it-IT"/>
        </w:rPr>
      </w:pPr>
      <w:r>
        <w:rPr>
          <w:rFonts w:ascii="Times New Roman" w:hAnsi="Times New Roman" w:cs="Times New Roman"/>
          <w:szCs w:val="24"/>
          <w:lang w:val="it-IT"/>
        </w:rPr>
        <w:t>Emis la Bucureşti, la..........................................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  <w:r>
        <w:rPr>
          <w:rFonts w:ascii="Times New Roman" w:hAnsi="Times New Roman" w:cs="Times New Roman"/>
          <w:b/>
          <w:szCs w:val="24"/>
          <w:lang w:val="it-IT"/>
        </w:rPr>
        <w:t>PREŞEDINTELE AGENŢIEI NAŢIONALE DE ADMINISTRARE FISCALĂ,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Cs w:val="24"/>
          <w:lang w:val="it-IT"/>
        </w:rPr>
      </w:pPr>
    </w:p>
    <w:p>
      <w:pPr>
        <w:keepNext w:val="0"/>
        <w:keepLines w:val="0"/>
        <w:pageBreakBefore w:val="0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50"/>
          <w:tab w:val="left" w:pos="10080"/>
          <w:tab w:val="left" w:pos="10800"/>
          <w:tab w:val="left" w:pos="11520"/>
        </w:tabs>
        <w:overflowPunct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eastAsia="Calibri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Calibri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default" w:eastAsia="Calibri" w:cs="Times New Roman"/>
          <w:b/>
          <w:bCs w:val="0"/>
          <w:color w:val="000000" w:themeColor="text1"/>
          <w:sz w:val="24"/>
          <w:szCs w:val="24"/>
          <w:lang w:val="ro-RO" w:eastAsia="zh-CN"/>
          <w14:textFill>
            <w14:solidFill>
              <w14:schemeClr w14:val="tx1"/>
            </w14:solidFill>
          </w14:textFill>
        </w:rPr>
        <w:t>DRIAN NICUȘOR</w:t>
      </w:r>
      <w:r>
        <w:rPr>
          <w:rFonts w:hint="default" w:ascii="Times New Roman" w:hAnsi="Times New Roman" w:eastAsia="Calibri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NICA</w:t>
      </w:r>
    </w:p>
    <w:p>
      <w:pPr>
        <w:keepNext w:val="0"/>
        <w:keepLines w:val="0"/>
        <w:pageBreakBefore w:val="0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50"/>
          <w:tab w:val="left" w:pos="10080"/>
          <w:tab w:val="left" w:pos="10800"/>
          <w:tab w:val="left" w:pos="11520"/>
        </w:tabs>
        <w:overflowPunct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eastAsia="Calibri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50"/>
          <w:tab w:val="left" w:pos="10080"/>
          <w:tab w:val="left" w:pos="10800"/>
          <w:tab w:val="left" w:pos="11520"/>
        </w:tabs>
        <w:overflowPunct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eastAsia="Calibri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8"/>
        <w:spacing w:line="360" w:lineRule="auto"/>
        <w:jc w:val="center"/>
        <w:rPr>
          <w:rFonts w:ascii="Times New Roman" w:hAnsi="Times New Roman" w:cs="Times New Roman"/>
          <w:szCs w:val="24"/>
          <w:lang w:val="it-IT"/>
        </w:rPr>
      </w:pPr>
    </w:p>
    <w:p>
      <w:pPr>
        <w:keepNext w:val="0"/>
        <w:keepLines w:val="0"/>
        <w:pageBreakBefore w:val="0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50"/>
          <w:tab w:val="left" w:pos="10080"/>
          <w:tab w:val="left" w:pos="10800"/>
          <w:tab w:val="left" w:pos="11520"/>
        </w:tabs>
        <w:overflowPunct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eastAsia="Calibri" w:cs="Times New Roman"/>
          <w:b/>
          <w:bCs w:val="0"/>
          <w:color w:val="000000" w:themeColor="text1"/>
          <w:sz w:val="24"/>
          <w:szCs w:val="24"/>
          <w:lang w:val="ro-RO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50"/>
          <w:tab w:val="left" w:pos="10080"/>
          <w:tab w:val="left" w:pos="10800"/>
          <w:tab w:val="left" w:pos="11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50"/>
          <w:tab w:val="left" w:pos="10080"/>
          <w:tab w:val="left" w:pos="10800"/>
          <w:tab w:val="left" w:pos="11520"/>
        </w:tabs>
        <w:overflowPunct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Cs w:val="24"/>
          <w:lang w:val="pt-BR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Cs w:val="24"/>
          <w:lang w:val="pt-BR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Cs w:val="24"/>
          <w:lang w:val="pt-BR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Cs w:val="24"/>
          <w:lang w:val="pt-BR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Cs w:val="24"/>
          <w:lang w:val="pt-BR"/>
        </w:rPr>
      </w:pPr>
    </w:p>
    <w:sectPr>
      <w:headerReference r:id="rId5" w:type="default"/>
      <w:pgSz w:w="11906" w:h="16838"/>
      <w:pgMar w:top="1084" w:right="1584" w:bottom="1872" w:left="1584" w:header="0" w:footer="0" w:gutter="0"/>
      <w:cols w:space="720" w:num="1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Liberation Mono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yriad Pro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/>
        <w:lang w:val="ro-RO"/>
      </w:rPr>
    </w:pPr>
  </w:p>
  <w:p>
    <w:pPr>
      <w:pStyle w:val="12"/>
      <w:jc w:val="center"/>
      <w:rPr>
        <w:rFonts w:hint="default"/>
        <w:lang w:val="ro-RO"/>
      </w:rPr>
    </w:pPr>
    <w:r>
      <w:rPr>
        <w:rFonts w:hint="default"/>
        <w:lang w:val="ro-RO"/>
      </w:rPr>
      <w:t>PROIECT</w:t>
    </w:r>
  </w:p>
  <w:p>
    <w:pPr>
      <w:pStyle w:val="12"/>
      <w:rPr>
        <w:rFonts w:hint="default"/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2B1FE"/>
    <w:multiLevelType w:val="singleLevel"/>
    <w:tmpl w:val="5A22B1FE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652"/>
    <w:rsid w:val="00045546"/>
    <w:rsid w:val="000A374E"/>
    <w:rsid w:val="00144A15"/>
    <w:rsid w:val="00151161"/>
    <w:rsid w:val="00172A27"/>
    <w:rsid w:val="002C6253"/>
    <w:rsid w:val="003F2D6A"/>
    <w:rsid w:val="00414D1C"/>
    <w:rsid w:val="004F1E26"/>
    <w:rsid w:val="006C0396"/>
    <w:rsid w:val="006F15A8"/>
    <w:rsid w:val="00746928"/>
    <w:rsid w:val="007B7416"/>
    <w:rsid w:val="00836C53"/>
    <w:rsid w:val="00A91D98"/>
    <w:rsid w:val="00B2597E"/>
    <w:rsid w:val="00B273AA"/>
    <w:rsid w:val="00B93D73"/>
    <w:rsid w:val="00C46898"/>
    <w:rsid w:val="00C5420E"/>
    <w:rsid w:val="00C55D2F"/>
    <w:rsid w:val="00C64CB9"/>
    <w:rsid w:val="00CE3B70"/>
    <w:rsid w:val="00E15CBB"/>
    <w:rsid w:val="00ED2E6E"/>
    <w:rsid w:val="00EE4F69"/>
    <w:rsid w:val="03C850B5"/>
    <w:rsid w:val="045906FD"/>
    <w:rsid w:val="052E24C5"/>
    <w:rsid w:val="05CB697D"/>
    <w:rsid w:val="08C821D5"/>
    <w:rsid w:val="0A2C7F06"/>
    <w:rsid w:val="0EBA6810"/>
    <w:rsid w:val="0F6F462F"/>
    <w:rsid w:val="0FB05D3A"/>
    <w:rsid w:val="142A39D5"/>
    <w:rsid w:val="149F62F7"/>
    <w:rsid w:val="14C56A58"/>
    <w:rsid w:val="169D7BA2"/>
    <w:rsid w:val="17247F38"/>
    <w:rsid w:val="1CDA6819"/>
    <w:rsid w:val="1E744E7A"/>
    <w:rsid w:val="1EC31584"/>
    <w:rsid w:val="21796658"/>
    <w:rsid w:val="223C4693"/>
    <w:rsid w:val="2310542E"/>
    <w:rsid w:val="23624ABA"/>
    <w:rsid w:val="24D10780"/>
    <w:rsid w:val="25A103B7"/>
    <w:rsid w:val="27A7102C"/>
    <w:rsid w:val="29E90217"/>
    <w:rsid w:val="2BA47EAD"/>
    <w:rsid w:val="2C0F51EB"/>
    <w:rsid w:val="2ED72AEF"/>
    <w:rsid w:val="2F4437A6"/>
    <w:rsid w:val="327B51C0"/>
    <w:rsid w:val="335F580F"/>
    <w:rsid w:val="35DE3FC4"/>
    <w:rsid w:val="384A03F1"/>
    <w:rsid w:val="39475872"/>
    <w:rsid w:val="3A9745B8"/>
    <w:rsid w:val="3B4D73D6"/>
    <w:rsid w:val="3B81728C"/>
    <w:rsid w:val="3D624BA3"/>
    <w:rsid w:val="3DB94184"/>
    <w:rsid w:val="3E5275B7"/>
    <w:rsid w:val="3E59324D"/>
    <w:rsid w:val="40F30902"/>
    <w:rsid w:val="42C91CD1"/>
    <w:rsid w:val="434C7709"/>
    <w:rsid w:val="46C70AE5"/>
    <w:rsid w:val="46D32D4A"/>
    <w:rsid w:val="4956163E"/>
    <w:rsid w:val="4AE55E44"/>
    <w:rsid w:val="4BB01BB8"/>
    <w:rsid w:val="4C7911FA"/>
    <w:rsid w:val="4C9B0AF5"/>
    <w:rsid w:val="4D920195"/>
    <w:rsid w:val="4E22442D"/>
    <w:rsid w:val="4EE93CCF"/>
    <w:rsid w:val="4F3D2D3E"/>
    <w:rsid w:val="4F451028"/>
    <w:rsid w:val="4FE6030A"/>
    <w:rsid w:val="52DF4B47"/>
    <w:rsid w:val="531E7CF7"/>
    <w:rsid w:val="541815CD"/>
    <w:rsid w:val="55211EA3"/>
    <w:rsid w:val="556823EA"/>
    <w:rsid w:val="55A705BB"/>
    <w:rsid w:val="55F236B5"/>
    <w:rsid w:val="56196D9F"/>
    <w:rsid w:val="57EE6F5F"/>
    <w:rsid w:val="58CB0843"/>
    <w:rsid w:val="5ACF4C8E"/>
    <w:rsid w:val="5DB87131"/>
    <w:rsid w:val="5E637CD6"/>
    <w:rsid w:val="62EF79D4"/>
    <w:rsid w:val="631021D7"/>
    <w:rsid w:val="66981571"/>
    <w:rsid w:val="66B0358C"/>
    <w:rsid w:val="66C81A16"/>
    <w:rsid w:val="670F0758"/>
    <w:rsid w:val="6AB21EC4"/>
    <w:rsid w:val="6D4B01AB"/>
    <w:rsid w:val="720E0D15"/>
    <w:rsid w:val="722D1281"/>
    <w:rsid w:val="76251B00"/>
    <w:rsid w:val="79091FA3"/>
    <w:rsid w:val="79883FB7"/>
    <w:rsid w:val="79A430DF"/>
    <w:rsid w:val="7A3836CE"/>
    <w:rsid w:val="7CFF56A6"/>
    <w:rsid w:val="7DCD79C7"/>
    <w:rsid w:val="7E877836"/>
    <w:rsid w:val="7F5B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before="100" w:after="100" w:line="259" w:lineRule="auto"/>
      <w:textAlignment w:val="baseline"/>
    </w:pPr>
    <w:rPr>
      <w:rFonts w:ascii="Times New Roman" w:hAnsi="Times New Roman" w:eastAsia="Times New Roman" w:cs="Times New Roman"/>
      <w:color w:val="00000A"/>
      <w:sz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80" w:after="0"/>
      <w:outlineLvl w:val="0"/>
    </w:pPr>
    <w:rPr>
      <w:rFonts w:ascii="Arial Black" w:hAnsi="Arial Black"/>
      <w:sz w:val="28"/>
    </w:rPr>
  </w:style>
  <w:style w:type="paragraph" w:styleId="3">
    <w:name w:val="heading 2"/>
    <w:basedOn w:val="1"/>
    <w:next w:val="1"/>
    <w:qFormat/>
    <w:uiPriority w:val="0"/>
    <w:pPr>
      <w:spacing w:before="120" w:after="0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qFormat/>
    <w:uiPriority w:val="0"/>
    <w:pPr>
      <w:spacing w:before="120" w:after="0"/>
      <w:outlineLvl w:val="2"/>
    </w:pPr>
    <w:rPr>
      <w:b/>
    </w:rPr>
  </w:style>
  <w:style w:type="paragraph" w:styleId="5">
    <w:name w:val="heading 4"/>
    <w:basedOn w:val="1"/>
    <w:next w:val="1"/>
    <w:link w:val="21"/>
    <w:semiHidden/>
    <w:unhideWhenUsed/>
    <w:qFormat/>
    <w:uiPriority w:val="0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9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Cs w:val="24"/>
    </w:rPr>
  </w:style>
  <w:style w:type="paragraph" w:styleId="10">
    <w:name w:val="annotation text"/>
    <w:basedOn w:val="1"/>
    <w:semiHidden/>
    <w:unhideWhenUsed/>
    <w:qFormat/>
    <w:uiPriority w:val="0"/>
    <w:pPr>
      <w:jc w:val="left"/>
    </w:pPr>
  </w:style>
  <w:style w:type="paragraph" w:styleId="11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2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3">
    <w:name w:val="List"/>
    <w:basedOn w:val="14"/>
    <w:qFormat/>
    <w:uiPriority w:val="0"/>
    <w:rPr>
      <w:rFonts w:cs="Mangal"/>
    </w:rPr>
  </w:style>
  <w:style w:type="paragraph" w:customStyle="1" w:styleId="14">
    <w:name w:val="Text Body"/>
    <w:basedOn w:val="1"/>
    <w:qFormat/>
    <w:uiPriority w:val="0"/>
    <w:pPr>
      <w:spacing w:before="0" w:after="140" w:line="288" w:lineRule="auto"/>
    </w:pPr>
  </w:style>
  <w:style w:type="paragraph" w:styleId="15">
    <w:name w:val="Normal (Web)"/>
    <w:basedOn w:val="1"/>
    <w:qFormat/>
    <w:uiPriority w:val="0"/>
    <w:pPr>
      <w:overflowPunct w:val="0"/>
      <w:spacing w:before="280" w:after="280"/>
      <w:textAlignment w:val="auto"/>
    </w:pPr>
    <w:rPr>
      <w:szCs w:val="24"/>
    </w:rPr>
  </w:style>
  <w:style w:type="table" w:styleId="16">
    <w:name w:val="Table Grid"/>
    <w:basedOn w:val="7"/>
    <w:qFormat/>
    <w:uiPriority w:val="0"/>
    <w:pPr>
      <w:spacing w:before="100" w:after="10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qFormat/>
    <w:uiPriority w:val="0"/>
    <w:pPr>
      <w:spacing w:before="0" w:after="240"/>
      <w:jc w:val="center"/>
    </w:pPr>
    <w:rPr>
      <w:rFonts w:ascii="Arial Black" w:hAnsi="Arial Black"/>
      <w:sz w:val="48"/>
    </w:rPr>
  </w:style>
  <w:style w:type="character" w:customStyle="1" w:styleId="18">
    <w:name w:val="Internet Link"/>
    <w:qFormat/>
    <w:uiPriority w:val="0"/>
    <w:rPr>
      <w:color w:val="0000FF"/>
      <w:u w:val="single"/>
      <w:lang w:val="zh-CN" w:eastAsia="zh-CN" w:bidi="zh-CN"/>
    </w:rPr>
  </w:style>
  <w:style w:type="character" w:customStyle="1" w:styleId="19">
    <w:name w:val="Default Text Char"/>
    <w:link w:val="20"/>
    <w:qFormat/>
    <w:uiPriority w:val="0"/>
    <w:rPr>
      <w:sz w:val="24"/>
      <w:lang w:val="en-US" w:eastAsia="en-US" w:bidi="ar-SA"/>
    </w:rPr>
  </w:style>
  <w:style w:type="paragraph" w:customStyle="1" w:styleId="20">
    <w:name w:val="Default Text"/>
    <w:basedOn w:val="1"/>
    <w:link w:val="19"/>
    <w:qFormat/>
    <w:uiPriority w:val="0"/>
    <w:pPr>
      <w:spacing w:before="0" w:after="0"/>
    </w:pPr>
  </w:style>
  <w:style w:type="character" w:customStyle="1" w:styleId="21">
    <w:name w:val="Heading 4 Char"/>
    <w:basedOn w:val="6"/>
    <w:link w:val="5"/>
    <w:semiHidden/>
    <w:qFormat/>
    <w:uiPriority w:val="0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14:textFill>
        <w14:solidFill>
          <w14:schemeClr w14:val="accent1"/>
        </w14:solidFill>
      </w14:textFill>
    </w:rPr>
  </w:style>
  <w:style w:type="character" w:customStyle="1" w:styleId="22">
    <w:name w:val="ListLabel 1"/>
    <w:qFormat/>
    <w:uiPriority w:val="0"/>
    <w:rPr>
      <w:rFonts w:eastAsia="Times New Roman" w:cs="Arial"/>
    </w:rPr>
  </w:style>
  <w:style w:type="paragraph" w:customStyle="1" w:styleId="23">
    <w:name w:val="Heading"/>
    <w:basedOn w:val="1"/>
    <w:next w:val="1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4">
    <w:name w:val="Index"/>
    <w:basedOn w:val="1"/>
    <w:qFormat/>
    <w:uiPriority w:val="0"/>
    <w:pPr>
      <w:suppressLineNumbers/>
    </w:pPr>
    <w:rPr>
      <w:rFonts w:cs="Mangal"/>
    </w:rPr>
  </w:style>
  <w:style w:type="paragraph" w:customStyle="1" w:styleId="25">
    <w:name w:val="Heading 71"/>
    <w:basedOn w:val="1"/>
    <w:qFormat/>
    <w:uiPriority w:val="0"/>
    <w:pPr>
      <w:keepNext/>
      <w:spacing w:before="0" w:after="0"/>
      <w:jc w:val="center"/>
    </w:pPr>
    <w:rPr>
      <w:rFonts w:ascii="Arial" w:hAnsi="Arial"/>
      <w:b/>
      <w:sz w:val="26"/>
    </w:rPr>
  </w:style>
  <w:style w:type="paragraph" w:customStyle="1" w:styleId="26">
    <w:name w:val="Heading 61"/>
    <w:basedOn w:val="1"/>
    <w:qFormat/>
    <w:uiPriority w:val="0"/>
    <w:pPr>
      <w:keepNext/>
      <w:spacing w:before="0" w:after="0"/>
      <w:jc w:val="center"/>
    </w:pPr>
    <w:rPr>
      <w:rFonts w:ascii="Arial" w:hAnsi="Arial"/>
      <w:b/>
    </w:rPr>
  </w:style>
  <w:style w:type="paragraph" w:customStyle="1" w:styleId="27">
    <w:name w:val="Default Text:2"/>
    <w:basedOn w:val="1"/>
    <w:qFormat/>
    <w:uiPriority w:val="0"/>
    <w:pPr>
      <w:spacing w:before="0" w:after="0"/>
    </w:pPr>
  </w:style>
  <w:style w:type="paragraph" w:customStyle="1" w:styleId="28">
    <w:name w:val="Default Text:1"/>
    <w:basedOn w:val="1"/>
    <w:qFormat/>
    <w:uiPriority w:val="0"/>
    <w:pPr>
      <w:spacing w:before="0" w:after="0"/>
    </w:pPr>
  </w:style>
  <w:style w:type="paragraph" w:customStyle="1" w:styleId="29">
    <w:name w:val="Outline (Not Indented)"/>
    <w:basedOn w:val="1"/>
    <w:qFormat/>
    <w:uiPriority w:val="0"/>
    <w:pPr>
      <w:spacing w:before="0" w:after="0"/>
    </w:pPr>
  </w:style>
  <w:style w:type="paragraph" w:customStyle="1" w:styleId="30">
    <w:name w:val="Outline (Indented)"/>
    <w:basedOn w:val="1"/>
    <w:qFormat/>
    <w:uiPriority w:val="0"/>
    <w:pPr>
      <w:spacing w:before="0" w:after="0"/>
    </w:pPr>
  </w:style>
  <w:style w:type="paragraph" w:customStyle="1" w:styleId="31">
    <w:name w:val="Table Text"/>
    <w:basedOn w:val="1"/>
    <w:qFormat/>
    <w:uiPriority w:val="0"/>
    <w:pPr>
      <w:spacing w:before="0" w:after="0"/>
      <w:jc w:val="right"/>
    </w:pPr>
  </w:style>
  <w:style w:type="paragraph" w:customStyle="1" w:styleId="32">
    <w:name w:val="Number List"/>
    <w:basedOn w:val="1"/>
    <w:qFormat/>
    <w:uiPriority w:val="0"/>
    <w:pPr>
      <w:spacing w:before="0" w:after="0"/>
    </w:pPr>
  </w:style>
  <w:style w:type="paragraph" w:customStyle="1" w:styleId="33">
    <w:name w:val="First Line Indent"/>
    <w:basedOn w:val="1"/>
    <w:qFormat/>
    <w:uiPriority w:val="0"/>
    <w:pPr>
      <w:spacing w:before="0" w:after="0"/>
      <w:ind w:firstLine="720"/>
    </w:pPr>
  </w:style>
  <w:style w:type="paragraph" w:customStyle="1" w:styleId="34">
    <w:name w:val="Bullet 2"/>
    <w:basedOn w:val="1"/>
    <w:qFormat/>
    <w:uiPriority w:val="0"/>
    <w:pPr>
      <w:spacing w:before="0" w:after="0"/>
    </w:pPr>
  </w:style>
  <w:style w:type="paragraph" w:customStyle="1" w:styleId="35">
    <w:name w:val="Bullet 1"/>
    <w:basedOn w:val="1"/>
    <w:qFormat/>
    <w:uiPriority w:val="0"/>
    <w:pPr>
      <w:spacing w:before="0" w:after="0"/>
    </w:pPr>
  </w:style>
  <w:style w:type="paragraph" w:customStyle="1" w:styleId="36">
    <w:name w:val="Body Single"/>
    <w:basedOn w:val="1"/>
    <w:qFormat/>
    <w:uiPriority w:val="0"/>
    <w:pPr>
      <w:spacing w:before="0" w:after="0"/>
    </w:pPr>
  </w:style>
  <w:style w:type="paragraph" w:customStyle="1" w:styleId="37">
    <w:name w:val="Caracter Caracter"/>
    <w:basedOn w:val="1"/>
    <w:qFormat/>
    <w:uiPriority w:val="0"/>
    <w:pPr>
      <w:tabs>
        <w:tab w:val="left" w:pos="709"/>
      </w:tabs>
      <w:overflowPunct w:val="0"/>
      <w:spacing w:before="0" w:after="0"/>
      <w:textAlignment w:val="auto"/>
    </w:pPr>
    <w:rPr>
      <w:rFonts w:ascii="Tahoma" w:hAnsi="Tahoma"/>
      <w:szCs w:val="24"/>
      <w:lang w:val="pl-PL" w:eastAsia="pl-PL"/>
    </w:rPr>
  </w:style>
  <w:style w:type="paragraph" w:customStyle="1" w:styleId="38">
    <w:name w:val="Default"/>
    <w:qFormat/>
    <w:uiPriority w:val="0"/>
    <w:pPr>
      <w:suppressAutoHyphens/>
      <w:spacing w:after="160" w:line="259" w:lineRule="auto"/>
    </w:pPr>
    <w:rPr>
      <w:rFonts w:ascii="Myriad Pro" w:hAnsi="Myriad Pro" w:eastAsia="Times New Roman" w:cs="Myriad Pro"/>
      <w:color w:val="000000"/>
      <w:sz w:val="24"/>
      <w:szCs w:val="24"/>
      <w:lang w:val="en-US" w:eastAsia="en-US" w:bidi="ar-SA"/>
    </w:rPr>
  </w:style>
  <w:style w:type="paragraph" w:customStyle="1" w:styleId="39">
    <w:name w:val="Caracter Char Char Caracter Caracter Char Char Char Char Char Char Caracter Caracter Caracter Char Char Char Char Char Char Char Char"/>
    <w:basedOn w:val="1"/>
    <w:qFormat/>
    <w:uiPriority w:val="0"/>
    <w:pPr>
      <w:tabs>
        <w:tab w:val="left" w:pos="709"/>
      </w:tabs>
      <w:overflowPunct w:val="0"/>
      <w:spacing w:before="0" w:after="0"/>
      <w:textAlignment w:val="auto"/>
    </w:pPr>
    <w:rPr>
      <w:rFonts w:ascii="Tahoma" w:hAnsi="Tahoma"/>
      <w:szCs w:val="24"/>
      <w:lang w:val="pl-PL" w:eastAsia="pl-P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619BB8-C182-9045-8CB5-DD3E6C1A75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431</Words>
  <Characters>2501</Characters>
  <Lines>20</Lines>
  <Paragraphs>5</Paragraphs>
  <TotalTime>0</TotalTime>
  <ScaleCrop>false</ScaleCrop>
  <LinksUpToDate>false</LinksUpToDate>
  <CharactersWithSpaces>2927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2021-01-26T10:59:00Z</dcterms:created>
  <dc:creator>Administrator</dc:creator>
  <cp:lastModifiedBy>Marian Turcu-Junoiu</cp:lastModifiedBy>
  <cp:lastPrinted>2026-02-18T08:44:00Z</cp:lastPrinted>
  <dcterms:modified xsi:type="dcterms:W3CDTF">2026-04-06T11:01:00Z</dcterms:modified>
  <dc:title>MINISTERUL FINANÞELOR PUBLICE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B07EC6DF4F6E4091B7DA3A1D7C421C55</vt:lpwstr>
  </property>
</Properties>
</file>